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1A" w:rsidRPr="0014621A" w:rsidRDefault="0014621A" w:rsidP="0014621A">
      <w:pPr>
        <w:jc w:val="center"/>
        <w:rPr>
          <w:b/>
          <w:u w:val="single"/>
        </w:rPr>
      </w:pPr>
      <w:r w:rsidRPr="0014621A">
        <w:rPr>
          <w:b/>
          <w:u w:val="single"/>
        </w:rPr>
        <w:t>Faculty Senate Agenda – March 19, 2013</w:t>
      </w:r>
    </w:p>
    <w:p w:rsidR="0014621A" w:rsidRPr="0014621A" w:rsidRDefault="0014621A" w:rsidP="0014621A">
      <w:pPr>
        <w:pStyle w:val="ListParagraph"/>
        <w:numPr>
          <w:ilvl w:val="0"/>
          <w:numId w:val="1"/>
        </w:numPr>
        <w:rPr>
          <w:b/>
        </w:rPr>
      </w:pPr>
      <w:r w:rsidRPr="0014621A">
        <w:rPr>
          <w:b/>
        </w:rPr>
        <w:t>Call Meeting to Order</w:t>
      </w:r>
    </w:p>
    <w:p w:rsidR="0014621A" w:rsidRPr="0014621A" w:rsidRDefault="0014621A" w:rsidP="0014621A">
      <w:pPr>
        <w:pStyle w:val="ListParagraph"/>
        <w:numPr>
          <w:ilvl w:val="0"/>
          <w:numId w:val="1"/>
        </w:numPr>
        <w:rPr>
          <w:b/>
        </w:rPr>
      </w:pPr>
      <w:r w:rsidRPr="0014621A">
        <w:rPr>
          <w:b/>
        </w:rPr>
        <w:t>Approval of February 19, 2013 Minutes</w:t>
      </w:r>
    </w:p>
    <w:p w:rsidR="0014621A" w:rsidRPr="0014621A" w:rsidRDefault="0014621A" w:rsidP="0014621A">
      <w:pPr>
        <w:pStyle w:val="ListParagraph"/>
        <w:numPr>
          <w:ilvl w:val="0"/>
          <w:numId w:val="1"/>
        </w:numPr>
        <w:rPr>
          <w:b/>
        </w:rPr>
      </w:pPr>
      <w:r w:rsidRPr="0014621A">
        <w:rPr>
          <w:b/>
        </w:rPr>
        <w:t>Smoke Free Campus Policy Implementation Committee Update</w:t>
      </w:r>
    </w:p>
    <w:p w:rsidR="0014621A" w:rsidRDefault="0014621A" w:rsidP="0014621A">
      <w:pPr>
        <w:pStyle w:val="ListParagraph"/>
        <w:numPr>
          <w:ilvl w:val="0"/>
          <w:numId w:val="1"/>
        </w:numPr>
      </w:pPr>
      <w:r w:rsidRPr="0014621A">
        <w:rPr>
          <w:b/>
        </w:rPr>
        <w:t>Senate Committee Reports</w:t>
      </w:r>
    </w:p>
    <w:p w:rsidR="0014621A" w:rsidRPr="0014621A" w:rsidRDefault="0014621A" w:rsidP="0014621A">
      <w:pPr>
        <w:pStyle w:val="ListParagraph"/>
        <w:numPr>
          <w:ilvl w:val="1"/>
          <w:numId w:val="1"/>
        </w:numPr>
        <w:rPr>
          <w:b/>
        </w:rPr>
      </w:pPr>
      <w:r w:rsidRPr="0014621A">
        <w:rPr>
          <w:b/>
        </w:rPr>
        <w:t>Executive Committee</w:t>
      </w:r>
    </w:p>
    <w:p w:rsidR="0014621A" w:rsidRPr="0014621A" w:rsidRDefault="0014621A" w:rsidP="0014621A">
      <w:pPr>
        <w:pStyle w:val="ListParagraph"/>
        <w:numPr>
          <w:ilvl w:val="1"/>
          <w:numId w:val="1"/>
        </w:numPr>
        <w:rPr>
          <w:b/>
        </w:rPr>
      </w:pPr>
      <w:r w:rsidRPr="0014621A">
        <w:rPr>
          <w:b/>
        </w:rPr>
        <w:t>Academic Affairs</w:t>
      </w:r>
    </w:p>
    <w:p w:rsidR="0014621A" w:rsidRDefault="00FB1753" w:rsidP="0014621A">
      <w:pPr>
        <w:pStyle w:val="ListParagraph"/>
        <w:numPr>
          <w:ilvl w:val="2"/>
          <w:numId w:val="1"/>
        </w:numPr>
      </w:pPr>
      <w:hyperlink r:id="rId5" w:history="1">
        <w:r w:rsidR="0014621A" w:rsidRPr="00113F4B">
          <w:rPr>
            <w:rStyle w:val="Hyperlink"/>
          </w:rPr>
          <w:t>Response to Grade Appeal Policies and Procedures</w:t>
        </w:r>
      </w:hyperlink>
    </w:p>
    <w:p w:rsidR="0014621A" w:rsidRDefault="00FB1753" w:rsidP="0014621A">
      <w:pPr>
        <w:pStyle w:val="ListParagraph"/>
        <w:numPr>
          <w:ilvl w:val="2"/>
          <w:numId w:val="1"/>
        </w:numPr>
      </w:pPr>
      <w:hyperlink r:id="rId6" w:history="1">
        <w:r w:rsidR="0014621A" w:rsidRPr="00113F4B">
          <w:rPr>
            <w:rStyle w:val="Hyperlink"/>
          </w:rPr>
          <w:t>Response to Repeating Course and Forgiveness Policies</w:t>
        </w:r>
      </w:hyperlink>
      <w:r w:rsidR="0014621A">
        <w:t xml:space="preserve"> </w:t>
      </w:r>
    </w:p>
    <w:p w:rsidR="0014621A" w:rsidRPr="0014621A" w:rsidRDefault="0014621A" w:rsidP="0014621A">
      <w:pPr>
        <w:pStyle w:val="ListParagraph"/>
        <w:numPr>
          <w:ilvl w:val="1"/>
          <w:numId w:val="1"/>
        </w:numPr>
        <w:rPr>
          <w:b/>
        </w:rPr>
      </w:pPr>
      <w:r w:rsidRPr="0014621A">
        <w:rPr>
          <w:b/>
        </w:rPr>
        <w:t>Academic Support</w:t>
      </w:r>
    </w:p>
    <w:p w:rsidR="0014621A" w:rsidRPr="0014621A" w:rsidRDefault="0014621A" w:rsidP="0014621A">
      <w:pPr>
        <w:pStyle w:val="ListParagraph"/>
        <w:numPr>
          <w:ilvl w:val="1"/>
          <w:numId w:val="1"/>
        </w:numPr>
        <w:rPr>
          <w:b/>
        </w:rPr>
      </w:pPr>
      <w:r w:rsidRPr="0014621A">
        <w:rPr>
          <w:b/>
        </w:rPr>
        <w:t>Finance</w:t>
      </w:r>
    </w:p>
    <w:p w:rsidR="0014621A" w:rsidRPr="0014621A" w:rsidRDefault="0014621A" w:rsidP="0014621A">
      <w:pPr>
        <w:pStyle w:val="ListParagraph"/>
        <w:numPr>
          <w:ilvl w:val="1"/>
          <w:numId w:val="1"/>
        </w:numPr>
        <w:rPr>
          <w:b/>
        </w:rPr>
      </w:pPr>
      <w:r w:rsidRPr="0014621A">
        <w:rPr>
          <w:b/>
        </w:rPr>
        <w:t>University Services</w:t>
      </w:r>
    </w:p>
    <w:p w:rsidR="0014621A" w:rsidRPr="0014621A" w:rsidRDefault="0014621A" w:rsidP="0014621A">
      <w:pPr>
        <w:pStyle w:val="ListParagraph"/>
        <w:numPr>
          <w:ilvl w:val="1"/>
          <w:numId w:val="1"/>
        </w:numPr>
        <w:rPr>
          <w:b/>
        </w:rPr>
      </w:pPr>
      <w:r w:rsidRPr="0014621A">
        <w:rPr>
          <w:b/>
        </w:rPr>
        <w:t>Governance</w:t>
      </w:r>
    </w:p>
    <w:p w:rsidR="0014621A" w:rsidRDefault="0014621A" w:rsidP="0014621A">
      <w:pPr>
        <w:pStyle w:val="ListParagraph"/>
        <w:numPr>
          <w:ilvl w:val="2"/>
          <w:numId w:val="1"/>
        </w:numPr>
      </w:pPr>
      <w:r>
        <w:t xml:space="preserve">Update on </w:t>
      </w:r>
      <w:hyperlink r:id="rId7" w:history="1">
        <w:r w:rsidRPr="00113F4B">
          <w:rPr>
            <w:rStyle w:val="Hyperlink"/>
          </w:rPr>
          <w:t>Ombudsman</w:t>
        </w:r>
      </w:hyperlink>
      <w:r>
        <w:t xml:space="preserve"> </w:t>
      </w:r>
    </w:p>
    <w:p w:rsidR="0014621A" w:rsidRPr="0014621A" w:rsidRDefault="0014621A" w:rsidP="0014621A">
      <w:pPr>
        <w:pStyle w:val="ListParagraph"/>
        <w:numPr>
          <w:ilvl w:val="0"/>
          <w:numId w:val="1"/>
        </w:numPr>
        <w:rPr>
          <w:b/>
        </w:rPr>
      </w:pPr>
      <w:r w:rsidRPr="0014621A">
        <w:rPr>
          <w:b/>
        </w:rPr>
        <w:t>Old Business</w:t>
      </w:r>
    </w:p>
    <w:p w:rsidR="0014621A" w:rsidRDefault="0014621A" w:rsidP="0014621A">
      <w:pPr>
        <w:pStyle w:val="ListParagraph"/>
        <w:numPr>
          <w:ilvl w:val="1"/>
          <w:numId w:val="1"/>
        </w:numPr>
      </w:pPr>
      <w:r>
        <w:t>Update on Second Bachelor’s Degree Task Force (Dr. Robert Doerksen &amp; Dr. Adam Smith)</w:t>
      </w:r>
    </w:p>
    <w:p w:rsidR="0014621A" w:rsidRDefault="0014621A" w:rsidP="0014621A">
      <w:pPr>
        <w:pStyle w:val="ListParagraph"/>
        <w:numPr>
          <w:ilvl w:val="2"/>
          <w:numId w:val="1"/>
        </w:numPr>
      </w:pPr>
      <w:r>
        <w:t>The University of Mississippi may confer a second bachelor’s degree upon either its graduates or those of another institution when a student has completed the specific course requirements for the second degree as defined by The University of Mississippi. In addition to the credits used for the first degree, the candidate for the second bachelor’s degree must complete at least 30 semester hours in residence from the school or college recommending the degree, with a minimum 2.00 GPA for those courses.</w:t>
      </w:r>
    </w:p>
    <w:p w:rsidR="0014621A" w:rsidRPr="0014621A" w:rsidRDefault="0014621A" w:rsidP="0014621A">
      <w:pPr>
        <w:pStyle w:val="ListParagraph"/>
        <w:numPr>
          <w:ilvl w:val="0"/>
          <w:numId w:val="1"/>
        </w:numPr>
        <w:rPr>
          <w:b/>
        </w:rPr>
      </w:pPr>
      <w:r w:rsidRPr="0014621A">
        <w:rPr>
          <w:b/>
        </w:rPr>
        <w:t>New Business</w:t>
      </w:r>
    </w:p>
    <w:p w:rsidR="0014621A" w:rsidRDefault="0014621A" w:rsidP="0014621A">
      <w:pPr>
        <w:pStyle w:val="ListParagraph"/>
        <w:numPr>
          <w:ilvl w:val="1"/>
          <w:numId w:val="1"/>
        </w:numPr>
      </w:pPr>
      <w:r>
        <w:t>Revised Policy Regarding Selecting a Major</w:t>
      </w:r>
    </w:p>
    <w:p w:rsidR="0073013A" w:rsidRDefault="0014621A" w:rsidP="0014621A">
      <w:pPr>
        <w:pStyle w:val="ListParagraph"/>
        <w:numPr>
          <w:ilvl w:val="2"/>
          <w:numId w:val="1"/>
        </w:numPr>
      </w:pPr>
      <w:r>
        <w:t xml:space="preserve">This proposal states that to select any major (if a student enters as Undecided, or wishes to switch majors), a student must have a 2.0 GPA. Exceptions to this policy may be made by Deans’ Offices. (see </w:t>
      </w:r>
      <w:hyperlink r:id="rId8" w:history="1">
        <w:r w:rsidRPr="00113F4B">
          <w:rPr>
            <w:rStyle w:val="Hyperlink"/>
          </w:rPr>
          <w:t>attached</w:t>
        </w:r>
      </w:hyperlink>
      <w:r>
        <w:t>)</w:t>
      </w:r>
    </w:p>
    <w:p w:rsidR="0014621A" w:rsidRDefault="0014621A" w:rsidP="0014621A">
      <w:pPr>
        <w:pStyle w:val="ListParagraph"/>
        <w:numPr>
          <w:ilvl w:val="0"/>
          <w:numId w:val="1"/>
        </w:numPr>
        <w:rPr>
          <w:b/>
        </w:rPr>
      </w:pPr>
      <w:r w:rsidRPr="0014621A">
        <w:rPr>
          <w:b/>
        </w:rPr>
        <w:t>Adjournment</w:t>
      </w:r>
    </w:p>
    <w:p w:rsidR="0014621A" w:rsidRPr="0014621A" w:rsidRDefault="0014621A" w:rsidP="0014621A">
      <w:pPr>
        <w:rPr>
          <w:b/>
        </w:rPr>
      </w:pPr>
    </w:p>
    <w:sectPr w:rsidR="0014621A" w:rsidRPr="0014621A" w:rsidSect="00730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4822"/>
    <w:multiLevelType w:val="hybridMultilevel"/>
    <w:tmpl w:val="F95CD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21A"/>
    <w:rsid w:val="00033C8F"/>
    <w:rsid w:val="00113DEF"/>
    <w:rsid w:val="00113F4B"/>
    <w:rsid w:val="0014621A"/>
    <w:rsid w:val="001B7D4C"/>
    <w:rsid w:val="005274CC"/>
    <w:rsid w:val="0059546B"/>
    <w:rsid w:val="00696419"/>
    <w:rsid w:val="0073013A"/>
    <w:rsid w:val="00776B0F"/>
    <w:rsid w:val="00AC1C51"/>
    <w:rsid w:val="00AC3AAE"/>
    <w:rsid w:val="00C229E5"/>
    <w:rsid w:val="00E7763A"/>
    <w:rsid w:val="00F72DA1"/>
    <w:rsid w:val="00FB1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1A"/>
    <w:pPr>
      <w:ind w:left="720"/>
      <w:contextualSpacing/>
    </w:pPr>
  </w:style>
  <w:style w:type="character" w:styleId="Hyperlink">
    <w:name w:val="Hyperlink"/>
    <w:basedOn w:val="DefaultParagraphFont"/>
    <w:uiPriority w:val="99"/>
    <w:unhideWhenUsed/>
    <w:rsid w:val="00113F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emiss.edu/orgs/faculty_senate/archives/Policy%20Regarding%20Selecting%20a%20Major_20130319.pdf" TargetMode="External"/><Relationship Id="rId3" Type="http://schemas.openxmlformats.org/officeDocument/2006/relationships/settings" Target="settings.xml"/><Relationship Id="rId7" Type="http://schemas.openxmlformats.org/officeDocument/2006/relationships/hyperlink" Target="http://www.olemiss.edu/orgs/faculty_senate/archives/Report%20on%20Office%20of%20the%20Ombuds_201303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emiss.edu/orgs/faculty_senate/archives/Repeating%20a%20Course%20and%20Forgiveness%20Policy_Proposed%20Changes_20130319.pdf" TargetMode="External"/><Relationship Id="rId5" Type="http://schemas.openxmlformats.org/officeDocument/2006/relationships/hyperlink" Target="http://www.olemiss.edu/orgs/faculty_senate/archives/Grade%20Appeal%20Policy%20and%20Procedures_Proposed%20Changes_201303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jgreenwood</dc:creator>
  <cp:lastModifiedBy>jgreenwood</cp:lastModifiedBy>
  <cp:revision>3</cp:revision>
  <dcterms:created xsi:type="dcterms:W3CDTF">2013-04-01T18:26:00Z</dcterms:created>
  <dcterms:modified xsi:type="dcterms:W3CDTF">2013-04-01T20:00:00Z</dcterms:modified>
</cp:coreProperties>
</file>